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21" w:rsidRPr="00681621" w:rsidRDefault="00681621" w:rsidP="00681621">
      <w:pPr>
        <w:shd w:val="clear" w:color="auto" w:fill="FFFFFF"/>
        <w:spacing w:beforeAutospacing="1" w:after="86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ru-RU"/>
        </w:rPr>
      </w:pPr>
      <w:r w:rsidRPr="00681621">
        <w:rPr>
          <w:rFonts w:ascii="Arial" w:eastAsia="Times New Roman" w:hAnsi="Arial" w:cs="Arial"/>
          <w:color w:val="000000" w:themeColor="text1"/>
          <w:kern w:val="36"/>
          <w:sz w:val="34"/>
          <w:szCs w:val="34"/>
          <w:lang w:eastAsia="ru-RU"/>
        </w:rPr>
        <w:t>Критерии доступности и качества</w:t>
      </w:r>
    </w:p>
    <w:p w:rsidR="00681621" w:rsidRPr="00681621" w:rsidRDefault="00681621" w:rsidP="00681621">
      <w:pPr>
        <w:shd w:val="clear" w:color="auto" w:fill="FFFFFF"/>
        <w:spacing w:after="0" w:line="288" w:lineRule="auto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681621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Приложение № 11</w:t>
      </w:r>
      <w:r w:rsidRPr="00681621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br/>
        <w:t>к Закону Краснодарского края</w:t>
      </w:r>
      <w:r w:rsidRPr="00681621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br/>
        <w:t>«О Территориальной программе</w:t>
      </w:r>
      <w:r w:rsidRPr="00681621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br/>
        <w:t>государственных гарантий бесплатного</w:t>
      </w:r>
      <w:r w:rsidRPr="00681621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br/>
        <w:t>оказания гражданам медицинской помощи</w:t>
      </w:r>
      <w:r w:rsidRPr="00681621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br/>
        <w:t xml:space="preserve">в Краснодарском крае на 2013 год </w:t>
      </w:r>
      <w:r w:rsidRPr="00681621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br/>
        <w:t xml:space="preserve">и на плановый период 2014 и 2015 годов» </w:t>
      </w:r>
    </w:p>
    <w:p w:rsidR="00681621" w:rsidRPr="00681621" w:rsidRDefault="00681621" w:rsidP="00681621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68162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 </w:t>
      </w:r>
    </w:p>
    <w:p w:rsidR="00681621" w:rsidRPr="00681621" w:rsidRDefault="00681621" w:rsidP="00681621">
      <w:pPr>
        <w:shd w:val="clear" w:color="auto" w:fill="FFFFFF"/>
        <w:spacing w:before="100" w:beforeAutospacing="1" w:line="240" w:lineRule="auto"/>
        <w:outlineLvl w:val="2"/>
        <w:rPr>
          <w:rFonts w:ascii="Arial" w:eastAsia="Times New Roman" w:hAnsi="Arial" w:cs="Arial"/>
          <w:color w:val="50555A"/>
          <w:sz w:val="27"/>
          <w:szCs w:val="27"/>
          <w:lang w:eastAsia="ru-RU"/>
        </w:rPr>
      </w:pPr>
      <w:r w:rsidRPr="00681621">
        <w:rPr>
          <w:rFonts w:ascii="Arial" w:eastAsia="Times New Roman" w:hAnsi="Arial" w:cs="Arial"/>
          <w:color w:val="50555A"/>
          <w:sz w:val="27"/>
          <w:szCs w:val="27"/>
          <w:lang w:eastAsia="ru-RU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</w:t>
      </w: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0"/>
        <w:gridCol w:w="2665"/>
        <w:gridCol w:w="892"/>
        <w:gridCol w:w="892"/>
        <w:gridCol w:w="922"/>
      </w:tblGrid>
      <w:tr w:rsidR="00681621" w:rsidRPr="00681621" w:rsidTr="00681621">
        <w:trPr>
          <w:tblCellSpacing w:w="30" w:type="dxa"/>
        </w:trPr>
        <w:tc>
          <w:tcPr>
            <w:tcW w:w="4320" w:type="dxa"/>
            <w:vMerge w:val="restart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Наименование показателя      </w:t>
            </w:r>
          </w:p>
        </w:tc>
        <w:tc>
          <w:tcPr>
            <w:tcW w:w="2640" w:type="dxa"/>
            <w:vMerge w:val="restart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ru-RU"/>
              </w:rPr>
              <w:br/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ru-RU"/>
              </w:rPr>
              <w:br/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Единица измерения  </w:t>
            </w:r>
          </w:p>
        </w:tc>
        <w:tc>
          <w:tcPr>
            <w:tcW w:w="2520" w:type="dxa"/>
            <w:gridSpan w:val="3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     Целевой     </w:t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ru-RU"/>
              </w:rPr>
              <w:br/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показатель    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1621" w:rsidRPr="00681621" w:rsidRDefault="00681621" w:rsidP="0068162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1621" w:rsidRPr="00681621" w:rsidRDefault="00681621" w:rsidP="0068162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2013 </w:t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ru-RU"/>
              </w:rPr>
              <w:br/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год 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2014 </w:t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ru-RU"/>
              </w:rPr>
              <w:br/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год 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2015 </w:t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szCs w:val="21"/>
                <w:lang w:eastAsia="ru-RU"/>
              </w:rPr>
              <w:br/>
            </w: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год 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                1                 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         2          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  3  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  4  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color w:val="464646"/>
                <w:sz w:val="21"/>
                <w:lang w:eastAsia="ru-RU"/>
              </w:rPr>
              <w:t xml:space="preserve">  5  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Удовлетворенность населения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медицинской помощью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% к числу </w:t>
            </w:r>
            <w:proofErr w:type="gramStart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46,5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Смертность населения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число умерших на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1000 человек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12,1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Смертность населения от болезней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системы кровообращения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число умерших от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болезней системы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кровообращения на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100 тыс. человек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населения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762,2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746,3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728,8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Смертность населения от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новообразований, в том числе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злокачественных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число умерших от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новообразований (в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том числе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злокачественных) на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100 тыс. человек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населения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205,2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203,0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202,7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Смертность населения от </w:t>
            </w:r>
            <w:proofErr w:type="spellStart"/>
            <w:proofErr w:type="gramStart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дорожно</w:t>
            </w:r>
            <w:proofErr w:type="spellEnd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-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транспортных</w:t>
            </w:r>
            <w:proofErr w:type="gramEnd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 происшествий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число умерших от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дорожно-транспортных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происшествий на 100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тыс. человек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населения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14,8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Смертность населения от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туберкулеза    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случаев на 100 тыс.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человек населения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12,8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lastRenderedPageBreak/>
              <w:t xml:space="preserve">Смертность населения в 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трудоспособном возрасте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число умерших в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трудоспособном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возрасте на 100 тыс.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человек населения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510,8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510,5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510,3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Смертность населения   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трудоспособного возраста от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болезней системы кровообращения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число умерших от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болезней системы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кровообращения в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трудоспособном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возрасте на 100 тыс.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человек населения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176,5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176,4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176,3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Материнская смертность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на 100 тыс.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</w:r>
            <w:proofErr w:type="gramStart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родившихся</w:t>
            </w:r>
            <w:proofErr w:type="gramEnd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 живыми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8,9 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8,9 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8,3 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Младенческая смертность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на 1000 </w:t>
            </w:r>
            <w:proofErr w:type="gramStart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родившихся</w:t>
            </w:r>
            <w:proofErr w:type="gramEnd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живыми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6,1 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6,0 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5,9 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Смертность детей в возрасте 0 - 14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лет             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на 100 тыс. человек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населения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соответствующего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возраста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78,0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Удельный вес больных   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злокачественными       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новообразованиями, выявленных на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ранних стадиях, в общем количестве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впервые выявленных больных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злокачественными новообразованиями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%   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55,0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Количество обоснованных жалоб, в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том числе на отказ в оказании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медицинской помощи,    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предоставляемой в рамках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территориальной программы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единиц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20  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18  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15  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Количество медицинских 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организаций, осуществляющих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автоматизированную запись на прием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к врачу с использованием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информационно-телекоммуникационной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сети "Интернет" и информационно-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справочных сенсорных терминалов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единиц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170 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170 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170 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Количество медицинских  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организаций, осуществляющих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автоматизированную запись на прием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к врачу с использованием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информационно-справочных сенсорных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терминалов     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единиц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106 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108 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110 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lastRenderedPageBreak/>
              <w:t xml:space="preserve">Обеспеченность населения врачами,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всего          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на 10 тыс. человек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населения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37,5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9480" w:type="dxa"/>
            <w:gridSpan w:val="5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i/>
                <w:iCs/>
                <w:color w:val="464646"/>
                <w:sz w:val="21"/>
                <w:lang w:eastAsia="ru-RU"/>
              </w:rPr>
              <w:t xml:space="preserve">в т.ч. </w:t>
            </w:r>
            <w:proofErr w:type="gramStart"/>
            <w:r w:rsidRPr="00681621">
              <w:rPr>
                <w:rFonts w:ascii="Arial" w:eastAsia="Times New Roman" w:hAnsi="Arial" w:cs="Arial"/>
                <w:b/>
                <w:bCs/>
                <w:i/>
                <w:iCs/>
                <w:color w:val="464646"/>
                <w:sz w:val="21"/>
                <w:lang w:eastAsia="ru-RU"/>
              </w:rPr>
              <w:t>оказывающими</w:t>
            </w:r>
            <w:proofErr w:type="gramEnd"/>
            <w:r w:rsidRPr="00681621">
              <w:rPr>
                <w:rFonts w:ascii="Arial" w:eastAsia="Times New Roman" w:hAnsi="Arial" w:cs="Arial"/>
                <w:b/>
                <w:bCs/>
                <w:i/>
                <w:iCs/>
                <w:color w:val="464646"/>
                <w:sz w:val="21"/>
                <w:lang w:eastAsia="ru-RU"/>
              </w:rPr>
              <w:t xml:space="preserve"> медицинскую помощь:          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                       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в амбулаторных условиях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на 10 тыс. человек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населения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16,6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в стационарных условиях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на 10 тыс. человек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населения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13,0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Средняя длительность лечения в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медицинской организации,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оказывающей медицинскую помощь в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стационарных условиях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койко-дней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10,6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9480" w:type="dxa"/>
            <w:gridSpan w:val="5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b/>
                <w:bCs/>
                <w:i/>
                <w:iCs/>
                <w:color w:val="464646"/>
                <w:sz w:val="21"/>
                <w:lang w:eastAsia="ru-RU"/>
              </w:rPr>
              <w:t xml:space="preserve">Эффективность деятельности медицинских организаций на основе:            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оценки выполнения функции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врачебной должности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%   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96,0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показателей рационального и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целевого использования коечного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фонда          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дней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326 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326 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326 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Полнота охвата патронажем детей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первого года жизни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%   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95,0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Полнота охвата профилактическими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осмотрами детей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%   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85,0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Удельный вес детей, снятых с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диспансерного наблюдения по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выздоровлению, в общем числе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детей, состоящих под диспансерным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наблюдением    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%   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3,1 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3,2 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Удельный вес детей с улучшением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состояния здоровья в общем числе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детей, состоящих под диспансерным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наблюдением    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%   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75,0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vMerge w:val="restart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Объем медицинской помощи,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оказываемой в условиях дневных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стационаров    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число </w:t>
            </w:r>
            <w:proofErr w:type="spellStart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пациенто-дней</w:t>
            </w:r>
            <w:proofErr w:type="spellEnd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на 1 жителя, на 1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застрахованное лицо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0,110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0,115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0,120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1621" w:rsidRPr="00681621" w:rsidRDefault="00681621" w:rsidP="00681621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число </w:t>
            </w:r>
            <w:proofErr w:type="spellStart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пациенто-дней</w:t>
            </w:r>
            <w:proofErr w:type="spellEnd"/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на 1 застрахованное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лицо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0,520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0,550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0,590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lastRenderedPageBreak/>
              <w:t xml:space="preserve">Уровень госпитализации населения,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прикрепившегося к медицинской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организации, оказывающей первичную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медико-санитарную помощь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на 1000 человек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населения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232 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233 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233 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Удельный вес госпитализаций в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экстренной форме в общем объеме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госпитализаций населения,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прикрепленного к медицинской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организации, оказывающей первичную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медико-санитарную помощь 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%   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46,7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Количество вызовов скорой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медицинской помощи в расчете на 1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жителя                   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число лиц, которым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оказана скорая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медицинская помощь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0,318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0,318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0,318</w:t>
            </w:r>
          </w:p>
        </w:tc>
      </w:tr>
      <w:tr w:rsidR="00681621" w:rsidRPr="00681621" w:rsidTr="00681621">
        <w:trPr>
          <w:tblCellSpacing w:w="30" w:type="dxa"/>
        </w:trPr>
        <w:tc>
          <w:tcPr>
            <w:tcW w:w="432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 xml:space="preserve">Доля лиц, которым скорая    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медицинская помощь оказана в    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течение 20 минут после вызова, в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 xml:space="preserve">общем числе лиц, которым оказана  </w:t>
            </w: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  <w:t>скорая медицинская помощь        </w:t>
            </w:r>
          </w:p>
        </w:tc>
        <w:tc>
          <w:tcPr>
            <w:tcW w:w="26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%                  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40" w:type="dxa"/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681621" w:rsidRPr="00681621" w:rsidRDefault="00681621" w:rsidP="00681621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681621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84,0</w:t>
            </w:r>
          </w:p>
        </w:tc>
      </w:tr>
    </w:tbl>
    <w:p w:rsidR="0049437E" w:rsidRDefault="0049437E"/>
    <w:sectPr w:rsidR="0049437E" w:rsidSect="0068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1621"/>
    <w:rsid w:val="0023403F"/>
    <w:rsid w:val="0049437E"/>
    <w:rsid w:val="00681621"/>
    <w:rsid w:val="008F520D"/>
    <w:rsid w:val="009D46A7"/>
    <w:rsid w:val="00AD686C"/>
    <w:rsid w:val="00CC23FF"/>
    <w:rsid w:val="00D1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7E"/>
  </w:style>
  <w:style w:type="paragraph" w:styleId="1">
    <w:name w:val="heading 1"/>
    <w:basedOn w:val="a"/>
    <w:link w:val="10"/>
    <w:uiPriority w:val="9"/>
    <w:qFormat/>
    <w:rsid w:val="00681621"/>
    <w:pPr>
      <w:spacing w:before="100" w:beforeAutospacing="1" w:after="86" w:line="240" w:lineRule="auto"/>
      <w:outlineLvl w:val="0"/>
    </w:pPr>
    <w:rPr>
      <w:rFonts w:ascii="Arial" w:eastAsia="Times New Roman" w:hAnsi="Arial" w:cs="Arial"/>
      <w:color w:val="BE4238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681621"/>
    <w:pPr>
      <w:spacing w:before="100" w:beforeAutospacing="1" w:after="86" w:line="240" w:lineRule="auto"/>
      <w:outlineLvl w:val="2"/>
    </w:pPr>
    <w:rPr>
      <w:rFonts w:ascii="Arial" w:eastAsia="Times New Roman" w:hAnsi="Arial" w:cs="Arial"/>
      <w:color w:val="50555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21"/>
    <w:rPr>
      <w:rFonts w:ascii="Arial" w:eastAsia="Times New Roman" w:hAnsi="Arial" w:cs="Arial"/>
      <w:color w:val="BE4238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621"/>
    <w:rPr>
      <w:rFonts w:ascii="Arial" w:eastAsia="Times New Roman" w:hAnsi="Arial" w:cs="Arial"/>
      <w:color w:val="50555A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81621"/>
    <w:rPr>
      <w:i/>
      <w:iCs/>
    </w:rPr>
  </w:style>
  <w:style w:type="character" w:styleId="a4">
    <w:name w:val="Strong"/>
    <w:basedOn w:val="a0"/>
    <w:uiPriority w:val="22"/>
    <w:qFormat/>
    <w:rsid w:val="00681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67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2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2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34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54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экон1</dc:creator>
  <cp:keywords/>
  <dc:description/>
  <cp:lastModifiedBy>экон1</cp:lastModifiedBy>
  <cp:revision>1</cp:revision>
  <dcterms:created xsi:type="dcterms:W3CDTF">2013-06-26T06:14:00Z</dcterms:created>
  <dcterms:modified xsi:type="dcterms:W3CDTF">2013-06-26T06:16:00Z</dcterms:modified>
</cp:coreProperties>
</file>